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1D304" w14:textId="4C00F6A4" w:rsidR="00263834" w:rsidRPr="000A64D8" w:rsidRDefault="00263834" w:rsidP="00263834">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Pr>
          <w:rFonts w:ascii="Arial" w:hAnsi="Arial" w:cs="Arial"/>
          <w:b/>
          <w:noProof/>
          <w:sz w:val="24"/>
          <w:szCs w:val="24"/>
        </w:rPr>
        <w:t xml:space="preserve">RAN1 NR </w:t>
      </w:r>
      <w:r w:rsidRPr="000A64D8">
        <w:rPr>
          <w:rFonts w:ascii="Arial" w:hAnsi="Arial" w:cs="Arial"/>
          <w:b/>
          <w:sz w:val="24"/>
          <w:szCs w:val="24"/>
        </w:rPr>
        <w:tab/>
      </w:r>
      <w:r>
        <w:rPr>
          <w:rFonts w:ascii="Arial" w:hAnsi="Arial" w:cs="Arial"/>
          <w:b/>
          <w:bCs/>
          <w:sz w:val="24"/>
          <w:szCs w:val="24"/>
        </w:rPr>
        <w:t>R1-</w:t>
      </w:r>
      <w:r w:rsidRPr="004B0EEE">
        <w:rPr>
          <w:rFonts w:ascii="Arial" w:hAnsi="Arial" w:cs="Arial"/>
          <w:b/>
          <w:bCs/>
          <w:sz w:val="24"/>
          <w:szCs w:val="24"/>
        </w:rPr>
        <w:t>170</w:t>
      </w:r>
      <w:r>
        <w:rPr>
          <w:rFonts w:ascii="Arial" w:hAnsi="Arial" w:cs="Arial"/>
          <w:b/>
          <w:bCs/>
          <w:sz w:val="24"/>
          <w:szCs w:val="24"/>
        </w:rPr>
        <w:t>2651</w:t>
      </w:r>
    </w:p>
    <w:p w14:paraId="3DB91439" w14:textId="77777777" w:rsidR="00263834" w:rsidRPr="00FD021C" w:rsidRDefault="00263834" w:rsidP="00263834">
      <w:pPr>
        <w:tabs>
          <w:tab w:val="right" w:pos="9630"/>
        </w:tabs>
        <w:spacing w:after="0"/>
        <w:rPr>
          <w:rFonts w:ascii="Arial" w:hAnsi="Arial" w:cs="Arial"/>
          <w:b/>
          <w:sz w:val="24"/>
          <w:szCs w:val="24"/>
        </w:rPr>
      </w:pPr>
      <w:r>
        <w:rPr>
          <w:rFonts w:ascii="Arial" w:hAnsi="Arial" w:cs="Arial"/>
          <w:b/>
          <w:sz w:val="24"/>
          <w:szCs w:val="24"/>
        </w:rPr>
        <w:t>February 13</w:t>
      </w:r>
      <w:r w:rsidRPr="00EE6950">
        <w:rPr>
          <w:rFonts w:ascii="Arial" w:hAnsi="Arial" w:cs="Arial"/>
          <w:b/>
          <w:sz w:val="24"/>
          <w:szCs w:val="24"/>
          <w:vertAlign w:val="superscript"/>
        </w:rPr>
        <w:t>th</w:t>
      </w:r>
      <w:r>
        <w:rPr>
          <w:rFonts w:ascii="Arial" w:hAnsi="Arial" w:cs="Arial"/>
          <w:b/>
          <w:sz w:val="24"/>
          <w:szCs w:val="24"/>
        </w:rPr>
        <w:t xml:space="preserve"> – 17</w:t>
      </w:r>
      <w:r w:rsidRPr="00EE6950">
        <w:rPr>
          <w:rFonts w:ascii="Arial" w:hAnsi="Arial" w:cs="Arial"/>
          <w:b/>
          <w:sz w:val="24"/>
          <w:szCs w:val="24"/>
          <w:vertAlign w:val="superscript"/>
        </w:rPr>
        <w:t>th</w:t>
      </w:r>
      <w:r>
        <w:rPr>
          <w:rFonts w:ascii="Arial" w:hAnsi="Arial" w:cs="Arial"/>
          <w:b/>
          <w:sz w:val="24"/>
          <w:szCs w:val="24"/>
        </w:rPr>
        <w:t>, 2017</w:t>
      </w:r>
    </w:p>
    <w:p w14:paraId="7EDB819A" w14:textId="0049AB66" w:rsidR="00E769DB" w:rsidRPr="00FD021C" w:rsidRDefault="00263834" w:rsidP="00263834">
      <w:pPr>
        <w:spacing w:after="0"/>
        <w:rPr>
          <w:rFonts w:ascii="Arial" w:hAnsi="Arial" w:cs="Arial"/>
          <w:b/>
          <w:sz w:val="24"/>
          <w:szCs w:val="24"/>
        </w:rPr>
      </w:pPr>
      <w:r>
        <w:rPr>
          <w:rFonts w:ascii="Arial" w:hAnsi="Arial" w:cs="Arial"/>
          <w:b/>
          <w:sz w:val="24"/>
          <w:szCs w:val="24"/>
        </w:rPr>
        <w:t>Athens, Greece</w:t>
      </w:r>
    </w:p>
    <w:p w14:paraId="4607ED07" w14:textId="77777777" w:rsidR="00E769DB" w:rsidRPr="000A64D8" w:rsidRDefault="00E769DB" w:rsidP="00E769DB">
      <w:pPr>
        <w:pStyle w:val="Footer"/>
        <w:jc w:val="left"/>
        <w:rPr>
          <w:noProof w:val="0"/>
        </w:rPr>
      </w:pPr>
    </w:p>
    <w:p w14:paraId="391CF797" w14:textId="74CF1C2F"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263834">
        <w:rPr>
          <w:rFonts w:ascii="Arial" w:hAnsi="Arial"/>
          <w:sz w:val="24"/>
        </w:rPr>
        <w:t>8.1.8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167207AC"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4B6823">
        <w:rPr>
          <w:rFonts w:ascii="Arial" w:hAnsi="Arial"/>
          <w:sz w:val="24"/>
        </w:rPr>
        <w:t>NR LTE Coexistence</w:t>
      </w:r>
      <w:r w:rsidR="00D252C3">
        <w:rPr>
          <w:rFonts w:ascii="Arial" w:hAnsi="Arial"/>
          <w:sz w:val="24"/>
        </w:rPr>
        <w:t xml:space="preserve"> C</w:t>
      </w:r>
      <w:r w:rsidR="00D252C3" w:rsidRPr="00D252C3">
        <w:rPr>
          <w:rFonts w:ascii="Arial" w:hAnsi="Arial"/>
          <w:sz w:val="24"/>
        </w:rPr>
        <w:t>onsideration</w:t>
      </w:r>
      <w:r w:rsidR="00D252C3">
        <w:rPr>
          <w:rFonts w:ascii="Arial" w:hAnsi="Arial"/>
          <w:sz w:val="24"/>
        </w:rPr>
        <w:t>s</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18ACC165" w:rsidR="00E769DB" w:rsidRDefault="00E769DB" w:rsidP="00E769DB">
      <w:pPr>
        <w:rPr>
          <w:szCs w:val="22"/>
        </w:rPr>
      </w:pPr>
      <w:r>
        <w:rPr>
          <w:szCs w:val="22"/>
        </w:rPr>
        <w:t>In the last RAN1 #87</w:t>
      </w:r>
      <w:r w:rsidR="00DB3CEE">
        <w:rPr>
          <w:szCs w:val="22"/>
        </w:rPr>
        <w:t>a</w:t>
      </w:r>
      <w:r>
        <w:rPr>
          <w:szCs w:val="22"/>
        </w:rPr>
        <w:t xml:space="preserve"> meetings, NR LTE coexistence has been discussed with the following agreement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 xml:space="preserve">] </w:t>
      </w:r>
      <w:r>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1A3E64AF"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UL-DL configurations 0,1,2,3,4,5 in unpaired spectrum</w:t>
      </w:r>
      <w:r w:rsidRPr="009568C4">
        <w:t xml:space="preserve">  </w:t>
      </w:r>
    </w:p>
    <w:p w14:paraId="66A944A5"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FFS detailed mechanism</w:t>
      </w:r>
    </w:p>
    <w:p w14:paraId="06BB5B31"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all the special subframe configurations in unpaired spectrum</w:t>
      </w:r>
    </w:p>
    <w:p w14:paraId="5CA613D5" w14:textId="77777777" w:rsidR="00D252C3" w:rsidRPr="009568C4" w:rsidRDefault="00D252C3" w:rsidP="00D252C3">
      <w:pPr>
        <w:numPr>
          <w:ilvl w:val="0"/>
          <w:numId w:val="25"/>
        </w:numPr>
        <w:overflowPunct/>
        <w:autoSpaceDE/>
        <w:autoSpaceDN/>
        <w:adjustRightInd/>
        <w:spacing w:after="0"/>
        <w:textAlignment w:val="auto"/>
      </w:pPr>
      <w:r w:rsidRPr="009568C4">
        <w:t>Notes:</w:t>
      </w:r>
    </w:p>
    <w:p w14:paraId="6A53B296" w14:textId="77777777" w:rsidR="00D252C3" w:rsidRPr="009568C4" w:rsidRDefault="00D252C3" w:rsidP="00D252C3">
      <w:pPr>
        <w:numPr>
          <w:ilvl w:val="1"/>
          <w:numId w:val="25"/>
        </w:numPr>
        <w:overflowPunct/>
        <w:autoSpaceDE/>
        <w:autoSpaceDN/>
        <w:adjustRightInd/>
        <w:spacing w:after="0"/>
        <w:textAlignment w:val="auto"/>
      </w:pPr>
      <w:r w:rsidRPr="009568C4">
        <w:t>The above bullets does not necessarily imply that two or more frame structures are to be defined for NR</w:t>
      </w:r>
    </w:p>
    <w:p w14:paraId="27F70706" w14:textId="77777777" w:rsidR="00D252C3" w:rsidRPr="009568C4" w:rsidRDefault="00D252C3" w:rsidP="00D252C3">
      <w:pPr>
        <w:numPr>
          <w:ilvl w:val="1"/>
          <w:numId w:val="25"/>
        </w:numPr>
        <w:overflowPunct/>
        <w:autoSpaceDE/>
        <w:autoSpaceDN/>
        <w:adjustRightInd/>
        <w:spacing w:after="0"/>
        <w:textAlignment w:val="auto"/>
      </w:pPr>
      <w:r w:rsidRPr="009568C4">
        <w:t>The wording “efficient” in the above two bullets does not imply exact alignment of configurations</w:t>
      </w:r>
    </w:p>
    <w:p w14:paraId="4AD5458C"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RAN1 has agreed the following</w:t>
      </w:r>
    </w:p>
    <w:p w14:paraId="6F23ABFD" w14:textId="72D9F9ED" w:rsidR="00E769DB" w:rsidRPr="00D252C3" w:rsidRDefault="00D252C3" w:rsidP="00D252C3">
      <w:pPr>
        <w:numPr>
          <w:ilvl w:val="0"/>
          <w:numId w:val="25"/>
        </w:numPr>
        <w:overflowPunct/>
        <w:autoSpaceDE/>
        <w:autoSpaceDN/>
        <w:adjustRightInd/>
        <w:spacing w:after="0"/>
        <w:textAlignment w:val="auto"/>
        <w:rPr>
          <w:rFonts w:eastAsia="MS Mincho"/>
          <w:lang w:eastAsia="ja-JP"/>
        </w:rPr>
      </w:pPr>
      <w:r w:rsidRPr="009568C4">
        <w:rPr>
          <w:rFonts w:hint="eastAsia"/>
        </w:rPr>
        <w:t>Design at least one semi-statically assigned DL/UL transmission direction configuration for NR that avoids DL/UL interference with at least one LTE TDD DL/UL configuration and special subframe configuration</w:t>
      </w:r>
    </w:p>
    <w:p w14:paraId="34726F8B" w14:textId="77777777" w:rsidR="00D252C3" w:rsidRDefault="00D252C3" w:rsidP="00D252C3">
      <w:pPr>
        <w:overflowPunct/>
        <w:autoSpaceDE/>
        <w:autoSpaceDN/>
        <w:adjustRightInd/>
        <w:spacing w:after="0"/>
        <w:ind w:left="360"/>
        <w:textAlignment w:val="auto"/>
      </w:pPr>
    </w:p>
    <w:p w14:paraId="2449A076" w14:textId="77777777" w:rsidR="00D252C3" w:rsidRPr="008D5FE3" w:rsidRDefault="00D252C3" w:rsidP="00D252C3">
      <w:pPr>
        <w:numPr>
          <w:ilvl w:val="0"/>
          <w:numId w:val="25"/>
        </w:numPr>
        <w:overflowPunct/>
        <w:autoSpaceDE/>
        <w:autoSpaceDN/>
        <w:adjustRightInd/>
        <w:spacing w:after="0"/>
        <w:textAlignment w:val="auto"/>
      </w:pPr>
      <w:r w:rsidRPr="008D5FE3">
        <w:t>Supporting NR DL in MBSFN subframes of LTE</w:t>
      </w:r>
    </w:p>
    <w:p w14:paraId="379D9BE5" w14:textId="77777777" w:rsidR="00D252C3" w:rsidRDefault="00D252C3" w:rsidP="00D252C3">
      <w:pPr>
        <w:numPr>
          <w:ilvl w:val="1"/>
          <w:numId w:val="25"/>
        </w:numPr>
        <w:overflowPunct/>
        <w:autoSpaceDE/>
        <w:autoSpaceDN/>
        <w:adjustRightInd/>
        <w:spacing w:after="0"/>
        <w:textAlignment w:val="auto"/>
      </w:pPr>
      <w:r w:rsidRPr="008D5FE3">
        <w:t>FFS details</w:t>
      </w:r>
    </w:p>
    <w:p w14:paraId="330344B0" w14:textId="77777777" w:rsidR="007E10E2" w:rsidRDefault="007E10E2" w:rsidP="007E10E2">
      <w:pPr>
        <w:overflowPunct/>
        <w:autoSpaceDE/>
        <w:autoSpaceDN/>
        <w:adjustRightInd/>
        <w:spacing w:after="0"/>
        <w:textAlignment w:val="auto"/>
      </w:pPr>
    </w:p>
    <w:p w14:paraId="7C9968FD" w14:textId="77777777" w:rsidR="007E10E2" w:rsidRPr="009568C4" w:rsidRDefault="007E10E2" w:rsidP="007E10E2">
      <w:pPr>
        <w:numPr>
          <w:ilvl w:val="0"/>
          <w:numId w:val="30"/>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UL-DL configurations 0,1,2,3,4,5 in unpaired spectrum</w:t>
      </w:r>
      <w:r w:rsidRPr="009568C4">
        <w:t xml:space="preserve">  </w:t>
      </w:r>
    </w:p>
    <w:p w14:paraId="245DB14A" w14:textId="77777777" w:rsidR="007E10E2" w:rsidRPr="009568C4" w:rsidRDefault="007E10E2" w:rsidP="007E10E2">
      <w:pPr>
        <w:numPr>
          <w:ilvl w:val="1"/>
          <w:numId w:val="30"/>
        </w:numPr>
        <w:overflowPunct/>
        <w:autoSpaceDE/>
        <w:autoSpaceDN/>
        <w:adjustRightInd/>
        <w:spacing w:after="0"/>
        <w:textAlignment w:val="auto"/>
      </w:pPr>
      <w:r w:rsidRPr="009568C4">
        <w:rPr>
          <w:rFonts w:hint="eastAsia"/>
        </w:rPr>
        <w:t>FFS detailed mechanism</w:t>
      </w:r>
    </w:p>
    <w:p w14:paraId="396735A1" w14:textId="77777777" w:rsidR="007E10E2" w:rsidRPr="009568C4" w:rsidRDefault="007E10E2" w:rsidP="007E10E2">
      <w:pPr>
        <w:numPr>
          <w:ilvl w:val="0"/>
          <w:numId w:val="30"/>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all the special subframe configurations in unpaired spectrum</w:t>
      </w:r>
    </w:p>
    <w:p w14:paraId="478141D9" w14:textId="77777777" w:rsidR="007E10E2" w:rsidRPr="009568C4" w:rsidRDefault="007E10E2" w:rsidP="007E10E2">
      <w:pPr>
        <w:numPr>
          <w:ilvl w:val="0"/>
          <w:numId w:val="30"/>
        </w:numPr>
        <w:overflowPunct/>
        <w:autoSpaceDE/>
        <w:autoSpaceDN/>
        <w:adjustRightInd/>
        <w:spacing w:after="0"/>
        <w:textAlignment w:val="auto"/>
      </w:pPr>
      <w:r w:rsidRPr="009568C4">
        <w:t>Notes:</w:t>
      </w:r>
    </w:p>
    <w:p w14:paraId="44C7EBF0" w14:textId="77777777" w:rsidR="007E10E2" w:rsidRPr="009568C4" w:rsidRDefault="007E10E2" w:rsidP="007E10E2">
      <w:pPr>
        <w:numPr>
          <w:ilvl w:val="1"/>
          <w:numId w:val="30"/>
        </w:numPr>
        <w:overflowPunct/>
        <w:autoSpaceDE/>
        <w:autoSpaceDN/>
        <w:adjustRightInd/>
        <w:spacing w:after="0"/>
        <w:textAlignment w:val="auto"/>
      </w:pPr>
      <w:r w:rsidRPr="009568C4">
        <w:t>The above bullets does not necessarily imply that two or more frame structures are to be defined for NR</w:t>
      </w:r>
    </w:p>
    <w:p w14:paraId="44B32251" w14:textId="77777777" w:rsidR="007E10E2" w:rsidRPr="009568C4" w:rsidRDefault="007E10E2" w:rsidP="007E10E2">
      <w:pPr>
        <w:numPr>
          <w:ilvl w:val="1"/>
          <w:numId w:val="30"/>
        </w:numPr>
        <w:overflowPunct/>
        <w:autoSpaceDE/>
        <w:autoSpaceDN/>
        <w:adjustRightInd/>
        <w:spacing w:after="0"/>
        <w:textAlignment w:val="auto"/>
      </w:pPr>
      <w:r w:rsidRPr="009568C4">
        <w:t>The wording “efficient” in the above two bullets does not imply exact alignment of configurations</w:t>
      </w:r>
    </w:p>
    <w:p w14:paraId="273845E2" w14:textId="77777777" w:rsidR="007E10E2" w:rsidRPr="009568C4" w:rsidRDefault="007E10E2" w:rsidP="007E10E2">
      <w:pPr>
        <w:numPr>
          <w:ilvl w:val="1"/>
          <w:numId w:val="30"/>
        </w:numPr>
        <w:overflowPunct/>
        <w:autoSpaceDE/>
        <w:autoSpaceDN/>
        <w:adjustRightInd/>
        <w:spacing w:after="0"/>
        <w:textAlignment w:val="auto"/>
      </w:pPr>
      <w:r w:rsidRPr="009568C4">
        <w:rPr>
          <w:rFonts w:hint="eastAsia"/>
        </w:rPr>
        <w:t>RAN1 has agreed the following</w:t>
      </w:r>
    </w:p>
    <w:p w14:paraId="34DDBB61" w14:textId="77777777" w:rsidR="007E10E2" w:rsidRPr="009568C4" w:rsidRDefault="007E10E2" w:rsidP="007E10E2">
      <w:pPr>
        <w:numPr>
          <w:ilvl w:val="2"/>
          <w:numId w:val="30"/>
        </w:numPr>
        <w:overflowPunct/>
        <w:autoSpaceDE/>
        <w:autoSpaceDN/>
        <w:adjustRightInd/>
        <w:spacing w:after="0"/>
        <w:textAlignment w:val="auto"/>
      </w:pPr>
      <w:r w:rsidRPr="009568C4">
        <w:rPr>
          <w:rFonts w:hint="eastAsia"/>
        </w:rPr>
        <w:t>Design at least one semi-statically assigned DL/UL transmission direction configuration for NR that avoids DL/UL interference with at least one LTE TDD DL/UL configuration and special subframe configuration</w:t>
      </w:r>
    </w:p>
    <w:p w14:paraId="2F55F2C8" w14:textId="77777777" w:rsidR="00D252C3" w:rsidRPr="004B6823" w:rsidRDefault="00D252C3" w:rsidP="00D252C3">
      <w:pPr>
        <w:overflowPunct/>
        <w:autoSpaceDE/>
        <w:autoSpaceDN/>
        <w:adjustRightInd/>
        <w:spacing w:after="0"/>
        <w:textAlignment w:val="auto"/>
        <w:rPr>
          <w:rFonts w:eastAsia="MS Mincho"/>
          <w:lang w:eastAsia="ja-JP"/>
        </w:rPr>
      </w:pPr>
    </w:p>
    <w:p w14:paraId="393EA744" w14:textId="5E783795" w:rsidR="00E769DB" w:rsidRDefault="00E769DB" w:rsidP="00E769DB">
      <w:pPr>
        <w:overflowPunct/>
        <w:autoSpaceDE/>
        <w:autoSpaceDN/>
        <w:adjustRightInd/>
        <w:spacing w:after="0"/>
        <w:textAlignment w:val="auto"/>
        <w:rPr>
          <w:szCs w:val="22"/>
        </w:rPr>
      </w:pPr>
      <w:r>
        <w:rPr>
          <w:szCs w:val="22"/>
        </w:rPr>
        <w:t xml:space="preserve">In this contribution, we </w:t>
      </w:r>
      <w:r w:rsidR="00D252C3">
        <w:rPr>
          <w:szCs w:val="22"/>
        </w:rPr>
        <w:t xml:space="preserve">analyze both TDM and FDM based coexistence options and list out the advantages and disadvantages of each approach. </w:t>
      </w:r>
    </w:p>
    <w:p w14:paraId="27A6E7A1" w14:textId="44F93D46" w:rsidR="00E769DB" w:rsidRDefault="00E769DB" w:rsidP="00E769DB">
      <w:pPr>
        <w:overflowPunct/>
        <w:autoSpaceDE/>
        <w:autoSpaceDN/>
        <w:adjustRightInd/>
        <w:spacing w:after="0"/>
        <w:textAlignment w:val="auto"/>
        <w:rPr>
          <w:szCs w:val="22"/>
        </w:rPr>
      </w:pPr>
      <w:r>
        <w:rPr>
          <w:szCs w:val="22"/>
        </w:rPr>
        <w:t xml:space="preserve"> </w:t>
      </w:r>
    </w:p>
    <w:p w14:paraId="4910E374" w14:textId="39FCB57B" w:rsidR="00E769DB" w:rsidRDefault="00DB3CEE" w:rsidP="00E769DB">
      <w:pPr>
        <w:pStyle w:val="Heading1"/>
      </w:pPr>
      <w:r>
        <w:t>Motivation</w:t>
      </w:r>
      <w:r w:rsidR="00E769DB">
        <w:t xml:space="preserve"> for NR LTE Coexistence</w:t>
      </w:r>
    </w:p>
    <w:p w14:paraId="27F2BC6C" w14:textId="77777777" w:rsidR="00E769DB" w:rsidRDefault="00E769DB" w:rsidP="00E769DB">
      <w:pPr>
        <w:rPr>
          <w:lang w:val="en-GB"/>
        </w:rPr>
      </w:pPr>
      <w:r>
        <w:rPr>
          <w:lang w:val="en-GB"/>
        </w:rPr>
        <w:t xml:space="preserve">NR deployments are likely to happen across a wide variety of spectrums. In some cases, with the introduction of new frequency bands, there will be greenfield deployments with no requirements related to co-existence with other technologies nearby. These deployments would have the most flexibility in terms of NR deployment options and should be able to </w:t>
      </w:r>
      <w:r>
        <w:rPr>
          <w:lang w:val="en-GB"/>
        </w:rPr>
        <w:lastRenderedPageBreak/>
        <w:t xml:space="preserve">exploit all the benefits NR has to offer such as low latency, ultra-reliability, adaptation to varying DL/UL traffic demand, etc. </w:t>
      </w:r>
    </w:p>
    <w:p w14:paraId="26334890" w14:textId="77777777" w:rsidR="00E769DB" w:rsidRDefault="00E769DB" w:rsidP="00E769DB">
      <w:pPr>
        <w:rPr>
          <w:lang w:val="en-GB"/>
        </w:rPr>
      </w:pPr>
      <w:r>
        <w:rPr>
          <w:lang w:val="en-GB"/>
        </w:rPr>
        <w:t>On the other hand, there is also a need to gradually migrate existing LTE spectrum resources to NR as device penetration increases. This would mean that NR deployments could happen in the same band as LTE operation, which necessitates NR design to be flexible enough to co-exist with LTE such that legacy LTE devices are not significantly impacted by the introduction of NR.</w:t>
      </w:r>
      <w:r w:rsidRPr="002014BF">
        <w:rPr>
          <w:lang w:val="en-GB"/>
        </w:rPr>
        <w:t xml:space="preserve"> </w:t>
      </w:r>
      <w:r>
        <w:rPr>
          <w:lang w:val="en-GB"/>
        </w:rPr>
        <w:t>However, the NR design must not become too complicated in order to allow for coexistence with LTE, since the need for the coexistence mechanisms will likely diminish over time as legacy services get replaced with the newer services.</w:t>
      </w:r>
    </w:p>
    <w:p w14:paraId="58900638" w14:textId="71D9FB22" w:rsidR="00E769DB" w:rsidRDefault="00DB69E4" w:rsidP="00E769DB">
      <w:pPr>
        <w:rPr>
          <w:lang w:val="en-GB"/>
        </w:rPr>
      </w:pPr>
      <w:r>
        <w:rPr>
          <w:lang w:val="en-GB"/>
        </w:rPr>
        <w:t xml:space="preserve">The two fundamental approaches for sharing DL resources are FDM or TDM-based sharing. Next, we will </w:t>
      </w:r>
      <w:r w:rsidR="000334CE">
        <w:rPr>
          <w:lang w:val="en-GB"/>
        </w:rPr>
        <w:t>analyse</w:t>
      </w:r>
      <w:r>
        <w:rPr>
          <w:lang w:val="en-GB"/>
        </w:rPr>
        <w:t xml:space="preserve"> the details of both approaches.</w:t>
      </w:r>
    </w:p>
    <w:p w14:paraId="284B6D4F" w14:textId="3D841380" w:rsidR="00E769DB" w:rsidRDefault="00E769DB" w:rsidP="00E769DB">
      <w:pPr>
        <w:pStyle w:val="Heading1"/>
      </w:pPr>
      <w:r>
        <w:t xml:space="preserve">NR LTE Coexistence </w:t>
      </w:r>
      <w:r w:rsidR="00DB3CEE">
        <w:t>Approaches</w:t>
      </w:r>
    </w:p>
    <w:p w14:paraId="70AD36CE" w14:textId="313F5E72" w:rsidR="00E769DB" w:rsidRDefault="00DB3CEE" w:rsidP="00E769DB">
      <w:pPr>
        <w:pStyle w:val="Heading2"/>
      </w:pPr>
      <w:r>
        <w:t>FDM-Based</w:t>
      </w:r>
      <w:r w:rsidR="00E769DB">
        <w:t xml:space="preserve"> Coexistence</w:t>
      </w:r>
    </w:p>
    <w:p w14:paraId="245892B4" w14:textId="77777777" w:rsidR="00EA13D9" w:rsidRDefault="00E769DB" w:rsidP="00E769DB">
      <w:pPr>
        <w:rPr>
          <w:lang w:val="en-GB"/>
        </w:rPr>
      </w:pPr>
      <w:r>
        <w:rPr>
          <w:lang w:val="en-GB"/>
        </w:rPr>
        <w:t xml:space="preserve">Different frequency deployments are simpler from a coexistence point of view and provide reasonable flexibility in terms of resource distribution between NR and LTE. Within a single operator, the total available bandwidth can be quantized into smaller carriers. NR and LTE can both have a static (anchor) allocation of a single carrier. The rest of the carriers can be time-shared between NR and LTE based on LTE-only and NR-capable user distribution in a semi-static fashion with fast activation/deactivation of carriers. </w:t>
      </w:r>
      <w:r w:rsidR="007E10E2">
        <w:rPr>
          <w:lang w:val="en-GB"/>
        </w:rPr>
        <w:t>Bandwidth of the static anchor allocation for LTE can be adjusted based on the distribution of LTE users that can take advantage of carrier aggregation in a given region.</w:t>
      </w:r>
    </w:p>
    <w:p w14:paraId="401C6523" w14:textId="416BD9F9" w:rsidR="00E769DB" w:rsidRDefault="00EA13D9" w:rsidP="00E769DB">
      <w:pPr>
        <w:rPr>
          <w:lang w:val="en-GB"/>
        </w:rPr>
      </w:pPr>
      <w:r>
        <w:rPr>
          <w:lang w:val="en-GB"/>
        </w:rPr>
        <w:t xml:space="preserve">For non-standalone deployments, users that support dual connectivity within the tight LTE-NR interworking framework can utilize the full bandwidth with FDM-based resource sharing. </w:t>
      </w:r>
      <w:r w:rsidR="007E10E2">
        <w:rPr>
          <w:lang w:val="en-GB"/>
        </w:rPr>
        <w:t xml:space="preserve"> </w:t>
      </w:r>
    </w:p>
    <w:p w14:paraId="1F233DB0" w14:textId="0D7E7524" w:rsidR="005175F7" w:rsidRDefault="005175F7" w:rsidP="00E769DB">
      <w:pPr>
        <w:rPr>
          <w:lang w:val="en-GB"/>
        </w:rPr>
      </w:pPr>
      <w:r>
        <w:rPr>
          <w:lang w:val="en-GB"/>
        </w:rPr>
        <w:t xml:space="preserve">Since both NR and LTE have continuous UL and DL resources in time domain, this approach does not impact the timeline and </w:t>
      </w:r>
      <w:r w:rsidR="003B4B22">
        <w:rPr>
          <w:lang w:val="en-GB"/>
        </w:rPr>
        <w:t xml:space="preserve">is </w:t>
      </w:r>
      <w:r>
        <w:rPr>
          <w:lang w:val="en-GB"/>
        </w:rPr>
        <w:t xml:space="preserve">most favourable in terms of latency performance. </w:t>
      </w:r>
      <w:r w:rsidR="00DA5BD5">
        <w:rPr>
          <w:lang w:val="en-GB"/>
        </w:rPr>
        <w:t xml:space="preserve">It does not require new and constrained NR design and can benefit from all the advantages that NR design has to offer in terms of efficiency. </w:t>
      </w:r>
    </w:p>
    <w:p w14:paraId="7EBBED3B" w14:textId="0A4CC940" w:rsidR="008A00D1" w:rsidRDefault="00E769DB" w:rsidP="00E769DB">
      <w:pPr>
        <w:rPr>
          <w:lang w:val="en-GB"/>
        </w:rPr>
      </w:pPr>
      <w:r>
        <w:rPr>
          <w:lang w:val="en-GB"/>
        </w:rPr>
        <w:t xml:space="preserve">In the case of paired spectrum deployments (FDD), adjacent NR and LTE operation is always in the same uplink or downlink direction whether NR and LTE belong to the same operator or different operators. Therefore there are no concerns about cross interference between uplink and downlink. NR signal leaking into the adjacent LTE channel could be of concern, and therefore needs to be regulated through RAN4 requirements on ACLR (adjacent channel leakage ratio). </w:t>
      </w:r>
      <w:r w:rsidR="005175F7">
        <w:rPr>
          <w:lang w:val="en-GB"/>
        </w:rPr>
        <w:t>In case of NR and LTE using different subcarrier spacing, additional guard band may be needed to limit adjacent channel interference.</w:t>
      </w:r>
    </w:p>
    <w:p w14:paraId="38DEB9AF" w14:textId="7AE26B7D" w:rsidR="00EA13D9" w:rsidRDefault="00E769DB" w:rsidP="00E769DB">
      <w:pPr>
        <w:rPr>
          <w:lang w:val="en-GB"/>
        </w:rPr>
      </w:pPr>
      <w:r>
        <w:rPr>
          <w:lang w:val="en-GB"/>
        </w:rPr>
        <w:t xml:space="preserve">In the case of TDD deployments, one of the main causes of concern is cross interference. If the NR network performs a downlink transmission while the LTE network performs an uplink transmission or vice versa, there can be cross link interference between LTE and NR, especially from DL transmission to UL reception. To ensure LTE-NR adjacent channel/band coexistence, NR slot structure can be configured in a manner that the direction of transmission is aligned with the LTE network. </w:t>
      </w:r>
      <w:r w:rsidR="00EA13D9">
        <w:rPr>
          <w:lang w:val="en-GB"/>
        </w:rPr>
        <w:t xml:space="preserve">This type of co-existence would be required not only within the same operator, but also across different operators that operate in adjacent spectrum. </w:t>
      </w:r>
    </w:p>
    <w:p w14:paraId="6716FED9" w14:textId="74489BD2" w:rsidR="00DB3CEE" w:rsidRDefault="00E769DB" w:rsidP="00E769DB">
      <w:pPr>
        <w:rPr>
          <w:lang w:val="en-GB"/>
        </w:rPr>
      </w:pPr>
      <w:r>
        <w:rPr>
          <w:lang w:val="en-GB"/>
        </w:rPr>
        <w:t xml:space="preserve">LTE network can be configured with one of 7 different TDD configurations that define the frame structure. Furthermore, there are 10 different options for the special subframe configuration. </w:t>
      </w:r>
      <w:r w:rsidR="00DB3CEE">
        <w:rPr>
          <w:lang w:val="en-GB"/>
        </w:rPr>
        <w:t xml:space="preserve">During the last </w:t>
      </w:r>
      <w:r w:rsidR="00DB3CEE">
        <w:rPr>
          <w:szCs w:val="22"/>
        </w:rPr>
        <w:t xml:space="preserve">RAN1 #87a meetings, it was agreed to support </w:t>
      </w:r>
      <w:r w:rsidR="007E10E2">
        <w:rPr>
          <w:szCs w:val="22"/>
        </w:rPr>
        <w:t>adjacent channel coexistence with all TDD configurations except for 6.</w:t>
      </w:r>
    </w:p>
    <w:p w14:paraId="43918C1D" w14:textId="22B2CE88" w:rsidR="00E769DB" w:rsidRDefault="00E769DB" w:rsidP="00E769DB">
      <w:pPr>
        <w:rPr>
          <w:lang w:val="en-GB"/>
        </w:rPr>
      </w:pPr>
      <w:r>
        <w:rPr>
          <w:lang w:val="en-GB"/>
        </w:rPr>
        <w:t xml:space="preserve">The NR frame structure design can be flexible enough to create alignment in direction between LTE and NR by arranging one or more NR slots to fit in the same time duration as an LTE subframe. For example, one or more fully-downlink NR slots with no uplink symbols can be aligned with an LTE D subframe. Similarly, one or more fully-uplink NR slots with no downlink symbols can be aligned with an LTE U subframe. A self-contained NR slot with both downlink and uplink symbols can be made to align with an LTE S subframe. In the case of fully downlink NR slots, the corresponding ACK/NACK information would arrive at the next UL opportunity. Similarly, </w:t>
      </w:r>
      <w:r w:rsidR="00EA13D9">
        <w:rPr>
          <w:lang w:val="en-GB"/>
        </w:rPr>
        <w:t>UL grant for a</w:t>
      </w:r>
      <w:r>
        <w:rPr>
          <w:lang w:val="en-GB"/>
        </w:rPr>
        <w:t xml:space="preserve"> fully uplink slot </w:t>
      </w:r>
      <w:r w:rsidR="00EA13D9">
        <w:rPr>
          <w:lang w:val="en-GB"/>
        </w:rPr>
        <w:t>would need to</w:t>
      </w:r>
      <w:r>
        <w:rPr>
          <w:lang w:val="en-GB"/>
        </w:rPr>
        <w:t xml:space="preserve"> be transmitted at an earlier DL transmission.</w:t>
      </w:r>
    </w:p>
    <w:p w14:paraId="41B90B27" w14:textId="77777777" w:rsidR="00E769DB" w:rsidRDefault="00E769DB" w:rsidP="00E769DB">
      <w:pPr>
        <w:keepNext/>
        <w:jc w:val="center"/>
      </w:pPr>
      <w:r>
        <w:rPr>
          <w:noProof/>
          <w:lang w:eastAsia="zh-CN"/>
        </w:rPr>
        <w:lastRenderedPageBreak/>
        <w:drawing>
          <wp:inline distT="0" distB="0" distL="0" distR="0" wp14:anchorId="5099487F" wp14:editId="237F0662">
            <wp:extent cx="5238921" cy="2115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on2_2.png"/>
                    <pic:cNvPicPr/>
                  </pic:nvPicPr>
                  <pic:blipFill rotWithShape="1">
                    <a:blip r:embed="rId12">
                      <a:extLst>
                        <a:ext uri="{28A0092B-C50C-407E-A947-70E740481C1C}">
                          <a14:useLocalDpi xmlns:a14="http://schemas.microsoft.com/office/drawing/2010/main" val="0"/>
                        </a:ext>
                      </a:extLst>
                    </a:blip>
                    <a:srcRect l="2889" t="27793" r="14356" b="27661"/>
                    <a:stretch/>
                  </pic:blipFill>
                  <pic:spPr bwMode="auto">
                    <a:xfrm>
                      <a:off x="0" y="0"/>
                      <a:ext cx="5240270" cy="2115592"/>
                    </a:xfrm>
                    <a:prstGeom prst="rect">
                      <a:avLst/>
                    </a:prstGeom>
                    <a:ln>
                      <a:noFill/>
                    </a:ln>
                    <a:extLst>
                      <a:ext uri="{53640926-AAD7-44D8-BBD7-CCE9431645EC}">
                        <a14:shadowObscured xmlns:a14="http://schemas.microsoft.com/office/drawing/2010/main"/>
                      </a:ext>
                    </a:extLst>
                  </pic:spPr>
                </pic:pic>
              </a:graphicData>
            </a:graphic>
          </wp:inline>
        </w:drawing>
      </w:r>
    </w:p>
    <w:p w14:paraId="72EDB01B" w14:textId="77777777" w:rsidR="00E769DB" w:rsidRPr="00275A5E" w:rsidRDefault="00E769DB" w:rsidP="00E769DB">
      <w:pPr>
        <w:pStyle w:val="Caption"/>
        <w:jc w:val="center"/>
      </w:pPr>
      <w:r>
        <w:t xml:space="preserve">Figure </w:t>
      </w:r>
      <w:r w:rsidR="00483133">
        <w:fldChar w:fldCharType="begin"/>
      </w:r>
      <w:r w:rsidR="00483133">
        <w:instrText xml:space="preserve"> SEQ Figure \* ARABIC </w:instrText>
      </w:r>
      <w:r w:rsidR="00483133">
        <w:fldChar w:fldCharType="separate"/>
      </w:r>
      <w:r>
        <w:rPr>
          <w:noProof/>
        </w:rPr>
        <w:t>1</w:t>
      </w:r>
      <w:r w:rsidR="00483133">
        <w:rPr>
          <w:noProof/>
        </w:rPr>
        <w:fldChar w:fldCharType="end"/>
      </w:r>
      <w:r>
        <w:t>: One or more NR slots aligned with each LTE subframe</w:t>
      </w:r>
    </w:p>
    <w:p w14:paraId="2389ECF4" w14:textId="77777777" w:rsidR="00E769DB" w:rsidRDefault="00E769DB" w:rsidP="00E769DB">
      <w:pPr>
        <w:rPr>
          <w:lang w:val="en-GB"/>
        </w:rPr>
      </w:pPr>
    </w:p>
    <w:p w14:paraId="7D540AE7" w14:textId="77777777" w:rsidR="00E769DB" w:rsidRDefault="00E769DB" w:rsidP="00E769DB">
      <w:pPr>
        <w:rPr>
          <w:lang w:val="en-GB"/>
        </w:rPr>
      </w:pPr>
      <w:r>
        <w:rPr>
          <w:lang w:val="en-GB"/>
        </w:rPr>
        <w:t>Allowing flexibility in the construction of the control interval as well as the duration of the DL, gap and UL blocks enables compatibility with the various LTE TDD configurations. In addition, NR would have the option of blanking out certain additional resources to enable interference management within its operating frequency.</w:t>
      </w:r>
    </w:p>
    <w:p w14:paraId="0D9E42F5" w14:textId="781B0D7A" w:rsidR="008A00D1" w:rsidRDefault="008A00D1" w:rsidP="00E769DB">
      <w:pPr>
        <w:rPr>
          <w:lang w:val="en-GB"/>
        </w:rPr>
      </w:pPr>
      <w:r>
        <w:rPr>
          <w:lang w:val="en-GB"/>
        </w:rPr>
        <w:t xml:space="preserve">This approach does not impact the LTE timeline, therefore does not degrade LTE latency. On the other hand, NR operation is somewhat restricted to match the LTE </w:t>
      </w:r>
      <w:r w:rsidR="00D86677">
        <w:rPr>
          <w:lang w:val="en-GB"/>
        </w:rPr>
        <w:t xml:space="preserve">direction. </w:t>
      </w:r>
      <w:r w:rsidR="005175F7">
        <w:rPr>
          <w:lang w:val="en-GB"/>
        </w:rPr>
        <w:t xml:space="preserve">The HARQ timeline of NR may need to match that of LTE. </w:t>
      </w:r>
      <w:r w:rsidR="00D86677">
        <w:rPr>
          <w:lang w:val="en-GB"/>
        </w:rPr>
        <w:t xml:space="preserve">Therefore, the NR latency performance may not be on par with a </w:t>
      </w:r>
      <w:r w:rsidR="00BF1720">
        <w:rPr>
          <w:lang w:val="en-GB"/>
        </w:rPr>
        <w:t>Greenfield</w:t>
      </w:r>
      <w:r w:rsidR="00D86677">
        <w:rPr>
          <w:lang w:val="en-GB"/>
        </w:rPr>
        <w:t xml:space="preserve"> NR deployment utilizing self-contained slot structure. </w:t>
      </w:r>
    </w:p>
    <w:p w14:paraId="1C333DF3" w14:textId="50DB3BAD" w:rsidR="00E769DB" w:rsidRDefault="00DB55D1" w:rsidP="00E769DB">
      <w:pPr>
        <w:pStyle w:val="Heading2"/>
      </w:pPr>
      <w:r>
        <w:t>TDM-Based Coexistence</w:t>
      </w:r>
    </w:p>
    <w:p w14:paraId="74DC5AD5" w14:textId="330485BB" w:rsidR="00E769DB" w:rsidRDefault="00E769DB" w:rsidP="00E769DB">
      <w:pPr>
        <w:rPr>
          <w:lang w:val="en-GB"/>
        </w:rPr>
      </w:pPr>
      <w:r>
        <w:rPr>
          <w:lang w:val="en-GB"/>
        </w:rPr>
        <w:t>NR and LTE NR co-existence can also be facilitated on the same carrier for FDD and TDD systems</w:t>
      </w:r>
      <w:r w:rsidR="00DB55D1">
        <w:rPr>
          <w:lang w:val="en-GB"/>
        </w:rPr>
        <w:t xml:space="preserve"> based on time domain multiplexing, </w:t>
      </w:r>
      <w:r>
        <w:rPr>
          <w:lang w:val="en-GB"/>
        </w:rPr>
        <w:t>subject to certain limitations. By allowing a flexible NR structure that can occupy a configurable subset of the time and frequency resources, co-existence can be achieved.</w:t>
      </w:r>
    </w:p>
    <w:p w14:paraId="3A3E7E62" w14:textId="784944ED" w:rsidR="00627BB8" w:rsidRDefault="00627BB8" w:rsidP="00627BB8">
      <w:pPr>
        <w:pStyle w:val="Heading3"/>
      </w:pPr>
      <w:r>
        <w:t>MBSFN Subframe</w:t>
      </w:r>
      <w:r w:rsidR="00994406">
        <w:t xml:space="preserve"> Resource Sharing</w:t>
      </w:r>
    </w:p>
    <w:p w14:paraId="371F655C" w14:textId="27000411" w:rsidR="00DB55D1" w:rsidRDefault="00E769DB" w:rsidP="00E769DB">
      <w:pPr>
        <w:rPr>
          <w:lang w:val="en-GB"/>
        </w:rPr>
      </w:pPr>
      <w:r>
        <w:rPr>
          <w:lang w:val="en-GB"/>
        </w:rPr>
        <w:t>For FDD deployments, the last 12 symbols of the MBSFN subframes (1,</w:t>
      </w:r>
      <w:r w:rsidR="00BF1720">
        <w:rPr>
          <w:lang w:val="en-GB"/>
        </w:rPr>
        <w:t xml:space="preserve"> </w:t>
      </w:r>
      <w:r>
        <w:rPr>
          <w:lang w:val="en-GB"/>
        </w:rPr>
        <w:t>2,</w:t>
      </w:r>
      <w:r w:rsidR="00BF1720">
        <w:rPr>
          <w:lang w:val="en-GB"/>
        </w:rPr>
        <w:t xml:space="preserve"> </w:t>
      </w:r>
      <w:r>
        <w:rPr>
          <w:lang w:val="en-GB"/>
        </w:rPr>
        <w:t>3,</w:t>
      </w:r>
      <w:r w:rsidR="00BF1720">
        <w:rPr>
          <w:lang w:val="en-GB"/>
        </w:rPr>
        <w:t xml:space="preserve"> </w:t>
      </w:r>
      <w:r>
        <w:rPr>
          <w:lang w:val="en-GB"/>
        </w:rPr>
        <w:t>6,</w:t>
      </w:r>
      <w:r w:rsidR="00BF1720">
        <w:rPr>
          <w:lang w:val="en-GB"/>
        </w:rPr>
        <w:t xml:space="preserve"> </w:t>
      </w:r>
      <w:r>
        <w:rPr>
          <w:lang w:val="en-GB"/>
        </w:rPr>
        <w:t>7,</w:t>
      </w:r>
      <w:r w:rsidR="00BF1720">
        <w:rPr>
          <w:lang w:val="en-GB"/>
        </w:rPr>
        <w:t xml:space="preserve"> </w:t>
      </w:r>
      <w:r w:rsidR="009A6969">
        <w:rPr>
          <w:lang w:val="en-GB"/>
        </w:rPr>
        <w:t>and 8</w:t>
      </w:r>
      <w:r>
        <w:rPr>
          <w:lang w:val="en-GB"/>
        </w:rPr>
        <w:t>) can be utilized by NR as downlink resources. This can be realized by starting DL control transmissions at the 3</w:t>
      </w:r>
      <w:r w:rsidRPr="00AF2810">
        <w:rPr>
          <w:vertAlign w:val="superscript"/>
          <w:lang w:val="en-GB"/>
        </w:rPr>
        <w:t>rd</w:t>
      </w:r>
      <w:r>
        <w:rPr>
          <w:lang w:val="en-GB"/>
        </w:rPr>
        <w:t xml:space="preserve"> LTE symbol or shifting the NR subframe boundaries by 2 symbols and blanking out the last 2 symbols of the subframe</w:t>
      </w:r>
      <w:r w:rsidR="007A5EA1">
        <w:rPr>
          <w:lang w:val="en-GB"/>
        </w:rPr>
        <w:t xml:space="preserve"> (assuming NR uses 15kHz SCS)</w:t>
      </w:r>
      <w:r>
        <w:rPr>
          <w:lang w:val="en-GB"/>
        </w:rPr>
        <w:t xml:space="preserve">. Note that the use of MBSFN subframes for DL allows NR to use up to 51% of the DL resources, therefore provides </w:t>
      </w:r>
      <w:r w:rsidR="00947A7C">
        <w:rPr>
          <w:lang w:val="en-GB"/>
        </w:rPr>
        <w:t xml:space="preserve">wide range of </w:t>
      </w:r>
      <w:r>
        <w:rPr>
          <w:lang w:val="en-GB"/>
        </w:rPr>
        <w:t xml:space="preserve">flexibility in terms of resource sharing between NR and LTE. </w:t>
      </w:r>
    </w:p>
    <w:p w14:paraId="122C278A" w14:textId="6E72A108" w:rsidR="00DB55D1" w:rsidRDefault="00E769DB" w:rsidP="00E769DB">
      <w:pPr>
        <w:rPr>
          <w:lang w:val="en-GB"/>
        </w:rPr>
      </w:pPr>
      <w:r>
        <w:rPr>
          <w:lang w:val="en-GB"/>
        </w:rPr>
        <w:t>In TDD deployments, MBSFN subframes vary by LTE TDD configuration. As an example, TDD config 2 subframes 3,</w:t>
      </w:r>
      <w:r w:rsidR="00775D2E">
        <w:rPr>
          <w:lang w:val="en-GB"/>
        </w:rPr>
        <w:t xml:space="preserve"> </w:t>
      </w:r>
      <w:r>
        <w:rPr>
          <w:lang w:val="en-GB"/>
        </w:rPr>
        <w:t xml:space="preserve">4, 8 and 9 can be designated as MBSFN. </w:t>
      </w:r>
      <w:r w:rsidR="00627BB8">
        <w:rPr>
          <w:lang w:val="en-GB"/>
        </w:rPr>
        <w:t xml:space="preserve">Similar to FDD, </w:t>
      </w:r>
      <w:r>
        <w:rPr>
          <w:lang w:val="en-GB"/>
        </w:rPr>
        <w:t xml:space="preserve">NR can use the last 12 symbols of these subframes. Utilizing those symbols in the DL direction may still be desirable to maintain the same direction with potential adjacent LTE-only deployments. </w:t>
      </w:r>
    </w:p>
    <w:p w14:paraId="2B56E7D3" w14:textId="6C81E564" w:rsidR="004B323A" w:rsidRDefault="00B712FD" w:rsidP="00E769DB">
      <w:pPr>
        <w:rPr>
          <w:lang w:val="en-GB"/>
        </w:rPr>
      </w:pPr>
      <w:r>
        <w:rPr>
          <w:lang w:val="en-GB"/>
        </w:rPr>
        <w:t xml:space="preserve">In order to allow NR to operate </w:t>
      </w:r>
      <w:r w:rsidR="000334CE">
        <w:rPr>
          <w:lang w:val="en-GB"/>
        </w:rPr>
        <w:t xml:space="preserve">within LTE MBSFN subframes with 12 symbol slots </w:t>
      </w:r>
      <w:r>
        <w:rPr>
          <w:lang w:val="en-GB"/>
        </w:rPr>
        <w:t xml:space="preserve">instead </w:t>
      </w:r>
      <w:r w:rsidR="000334CE">
        <w:rPr>
          <w:lang w:val="en-GB"/>
        </w:rPr>
        <w:t>of 14 symbols</w:t>
      </w:r>
      <w:r>
        <w:rPr>
          <w:lang w:val="en-GB"/>
        </w:rPr>
        <w:t>, some of the NR design needs to be enhanced</w:t>
      </w:r>
      <w:r w:rsidR="000334CE">
        <w:rPr>
          <w:lang w:val="en-GB"/>
        </w:rPr>
        <w:t xml:space="preserve"> such as </w:t>
      </w:r>
      <w:r w:rsidR="003B4B22">
        <w:rPr>
          <w:lang w:val="en-GB"/>
        </w:rPr>
        <w:t xml:space="preserve">DL slot format, </w:t>
      </w:r>
      <w:r>
        <w:rPr>
          <w:lang w:val="en-GB"/>
        </w:rPr>
        <w:t>DMRS patterns</w:t>
      </w:r>
      <w:r w:rsidR="000334CE">
        <w:rPr>
          <w:lang w:val="en-GB"/>
        </w:rPr>
        <w:t>, broadcast and sync channel.</w:t>
      </w:r>
      <w:r w:rsidR="004B323A">
        <w:rPr>
          <w:lang w:val="en-GB"/>
        </w:rPr>
        <w:t xml:space="preserve"> Slots used by LTE data would not be available for NR transmissions, therefore control channel and HARQ timeline would need to be designed to allow for non-continuous resource availability. </w:t>
      </w:r>
    </w:p>
    <w:p w14:paraId="1866361F" w14:textId="0A9A7EA1" w:rsidR="00B712FD" w:rsidRDefault="004B323A" w:rsidP="00E769DB">
      <w:pPr>
        <w:rPr>
          <w:lang w:val="en-GB"/>
        </w:rPr>
      </w:pPr>
      <w:r>
        <w:rPr>
          <w:lang w:val="en-GB"/>
        </w:rPr>
        <w:t>D</w:t>
      </w:r>
      <w:r w:rsidR="00B712FD">
        <w:rPr>
          <w:lang w:val="en-GB"/>
        </w:rPr>
        <w:t xml:space="preserve">ue to </w:t>
      </w:r>
      <w:r>
        <w:rPr>
          <w:lang w:val="en-GB"/>
        </w:rPr>
        <w:t xml:space="preserve">the </w:t>
      </w:r>
      <w:r w:rsidR="00B712FD">
        <w:rPr>
          <w:lang w:val="en-GB"/>
        </w:rPr>
        <w:t xml:space="preserve">TDM nature of resource sharing, both LTE and NR would </w:t>
      </w:r>
      <w:r>
        <w:rPr>
          <w:lang w:val="en-GB"/>
        </w:rPr>
        <w:t xml:space="preserve">still </w:t>
      </w:r>
      <w:r w:rsidR="00B712FD">
        <w:rPr>
          <w:lang w:val="en-GB"/>
        </w:rPr>
        <w:t xml:space="preserve">experience higher latency compared to standalone deployments.  </w:t>
      </w:r>
    </w:p>
    <w:p w14:paraId="7866AC8B" w14:textId="47608BB1" w:rsidR="00627BB8" w:rsidRDefault="00627BB8" w:rsidP="00E769DB">
      <w:pPr>
        <w:rPr>
          <w:lang w:val="en-GB"/>
        </w:rPr>
      </w:pPr>
      <w:r>
        <w:rPr>
          <w:lang w:val="en-GB"/>
        </w:rPr>
        <w:t xml:space="preserve">MBSFN configuration can only be adjusted </w:t>
      </w:r>
      <w:r w:rsidR="00994406">
        <w:rPr>
          <w:lang w:val="en-GB"/>
        </w:rPr>
        <w:t>semi-statically through RRC configuration, therefore may not be capable of adjusting well to the short term variations in NR and LTE load. On the other hand, resources allocated to NR that are not utilized due to low load can be used to schedule TM9/TM10 to Rel 10+</w:t>
      </w:r>
      <w:r w:rsidR="003B4B22">
        <w:rPr>
          <w:lang w:val="en-GB"/>
        </w:rPr>
        <w:t xml:space="preserve"> </w:t>
      </w:r>
      <w:r w:rsidR="00994406">
        <w:rPr>
          <w:lang w:val="en-GB"/>
        </w:rPr>
        <w:t xml:space="preserve">LTE UEs. </w:t>
      </w:r>
    </w:p>
    <w:p w14:paraId="35EC13C5" w14:textId="3CBF41E9" w:rsidR="00994406" w:rsidRDefault="00994406" w:rsidP="00994406">
      <w:pPr>
        <w:pStyle w:val="Heading3"/>
      </w:pPr>
      <w:r>
        <w:lastRenderedPageBreak/>
        <w:t>Non-MBSFN Subframe Resource Sharing</w:t>
      </w:r>
    </w:p>
    <w:p w14:paraId="7B996F0A" w14:textId="7D2C0BC5" w:rsidR="00237F69" w:rsidRDefault="000334CE" w:rsidP="000334CE">
      <w:pPr>
        <w:rPr>
          <w:lang w:val="en-GB"/>
        </w:rPr>
      </w:pPr>
      <w:r>
        <w:rPr>
          <w:lang w:val="en-GB"/>
        </w:rPr>
        <w:t xml:space="preserve">Another option for TDM-based resource sharing between NR and LTE is to utilize non-MBSFN subframes, where NR utilizes unused LTE resources dynamically at PRB level in frequency and subframe level in time. </w:t>
      </w:r>
      <w:r w:rsidR="00237F69">
        <w:rPr>
          <w:lang w:val="en-GB"/>
        </w:rPr>
        <w:t>Usefulness of such dynamic PRB level resource sharing schemes needs to be carefully considered since it introduces many design challenges and additional overhead to ensure proper LTE and NR operation</w:t>
      </w:r>
      <w:r w:rsidR="003B4B22">
        <w:rPr>
          <w:lang w:val="en-GB"/>
        </w:rPr>
        <w:t xml:space="preserve"> that</w:t>
      </w:r>
      <w:r w:rsidR="00237F69">
        <w:rPr>
          <w:lang w:val="en-GB"/>
        </w:rPr>
        <w:t xml:space="preserve"> may offset the potential performance benefits of dynamic adaptation. Some of the design challenges </w:t>
      </w:r>
      <w:r w:rsidR="003B4B22">
        <w:rPr>
          <w:lang w:val="en-GB"/>
        </w:rPr>
        <w:t>are listed below</w:t>
      </w:r>
      <w:r w:rsidR="00237F69">
        <w:rPr>
          <w:lang w:val="en-GB"/>
        </w:rPr>
        <w:t>:</w:t>
      </w:r>
    </w:p>
    <w:p w14:paraId="2E59586A" w14:textId="725A97D9" w:rsidR="001865D7" w:rsidRPr="001865D7" w:rsidRDefault="001865D7" w:rsidP="00237F69">
      <w:pPr>
        <w:pStyle w:val="ListParagraph"/>
        <w:numPr>
          <w:ilvl w:val="0"/>
          <w:numId w:val="32"/>
        </w:numPr>
        <w:rPr>
          <w:rFonts w:ascii="Times New Roman" w:hAnsi="Times New Roman"/>
          <w:lang w:val="en-GB"/>
        </w:rPr>
      </w:pPr>
      <w:r w:rsidRPr="001865D7">
        <w:rPr>
          <w:rFonts w:ascii="Times New Roman" w:hAnsi="Times New Roman"/>
          <w:sz w:val="20"/>
          <w:lang w:val="en-GB"/>
        </w:rPr>
        <w:t xml:space="preserve">NR needs to </w:t>
      </w:r>
      <w:r>
        <w:rPr>
          <w:rFonts w:ascii="Times New Roman" w:hAnsi="Times New Roman"/>
          <w:sz w:val="20"/>
          <w:lang w:val="en-GB"/>
        </w:rPr>
        <w:t xml:space="preserve">vacate LTE CRS REs or the whole symbols that carry LTE CRS in order not to impact LTE mechanisms that rely on consistent CRS availability such as </w:t>
      </w:r>
      <w:r w:rsidR="00DF774A">
        <w:rPr>
          <w:rFonts w:ascii="Times New Roman" w:hAnsi="Times New Roman"/>
          <w:sz w:val="20"/>
          <w:lang w:val="en-GB"/>
        </w:rPr>
        <w:t xml:space="preserve">RRM, </w:t>
      </w:r>
      <w:r>
        <w:rPr>
          <w:rFonts w:ascii="Times New Roman" w:hAnsi="Times New Roman"/>
          <w:sz w:val="20"/>
          <w:lang w:val="en-GB"/>
        </w:rPr>
        <w:t>RLM, link adaptation, etc. This requires the definition of new NR slot structures or limits NR operation to mini slots on the DL.</w:t>
      </w:r>
    </w:p>
    <w:p w14:paraId="4ED1CC66" w14:textId="23B29F09" w:rsidR="008451BC" w:rsidRPr="00717DFB" w:rsidRDefault="00717DFB" w:rsidP="008451BC">
      <w:pPr>
        <w:pStyle w:val="ListParagraph"/>
        <w:numPr>
          <w:ilvl w:val="0"/>
          <w:numId w:val="32"/>
        </w:numPr>
        <w:rPr>
          <w:rFonts w:ascii="Times New Roman" w:hAnsi="Times New Roman"/>
          <w:lang w:val="en-GB"/>
        </w:rPr>
      </w:pPr>
      <w:r>
        <w:rPr>
          <w:rFonts w:ascii="Times New Roman" w:hAnsi="Times New Roman"/>
          <w:sz w:val="20"/>
          <w:lang w:val="en-GB"/>
        </w:rPr>
        <w:t xml:space="preserve">NR </w:t>
      </w:r>
      <w:r w:rsidR="008451BC">
        <w:rPr>
          <w:rFonts w:ascii="Times New Roman" w:hAnsi="Times New Roman"/>
          <w:sz w:val="20"/>
          <w:lang w:val="en-GB"/>
        </w:rPr>
        <w:t>transmissions</w:t>
      </w:r>
      <w:r>
        <w:rPr>
          <w:rFonts w:ascii="Times New Roman" w:hAnsi="Times New Roman"/>
          <w:sz w:val="20"/>
          <w:lang w:val="en-GB"/>
        </w:rPr>
        <w:t xml:space="preserve"> should not interfere with </w:t>
      </w:r>
      <w:r w:rsidR="008451BC">
        <w:rPr>
          <w:rFonts w:ascii="Times New Roman" w:hAnsi="Times New Roman"/>
          <w:sz w:val="20"/>
          <w:lang w:val="en-GB"/>
        </w:rPr>
        <w:t>LTE PDCCH, SYNC and PBCH transmissions</w:t>
      </w:r>
    </w:p>
    <w:p w14:paraId="718E4652" w14:textId="4C971621" w:rsidR="008451BC" w:rsidRPr="003B4B22" w:rsidRDefault="00D60422" w:rsidP="008451BC">
      <w:pPr>
        <w:pStyle w:val="ListParagraph"/>
        <w:numPr>
          <w:ilvl w:val="0"/>
          <w:numId w:val="32"/>
        </w:numPr>
        <w:rPr>
          <w:rFonts w:ascii="Times New Roman" w:hAnsi="Times New Roman"/>
          <w:lang w:val="en-GB"/>
        </w:rPr>
      </w:pPr>
      <w:r>
        <w:rPr>
          <w:rFonts w:ascii="Times New Roman" w:hAnsi="Times New Roman"/>
          <w:sz w:val="20"/>
          <w:lang w:val="en-GB"/>
        </w:rPr>
        <w:t xml:space="preserve">NR </w:t>
      </w:r>
      <w:r w:rsidR="008451BC">
        <w:rPr>
          <w:rFonts w:ascii="Times New Roman" w:hAnsi="Times New Roman"/>
          <w:sz w:val="20"/>
          <w:lang w:val="en-GB"/>
        </w:rPr>
        <w:t>control, sync and broadcast channel</w:t>
      </w:r>
      <w:r w:rsidR="003B4B22">
        <w:rPr>
          <w:rFonts w:ascii="Times New Roman" w:hAnsi="Times New Roman"/>
          <w:sz w:val="20"/>
          <w:lang w:val="en-GB"/>
        </w:rPr>
        <w:t>, DMRS pattern</w:t>
      </w:r>
      <w:r w:rsidR="008451BC">
        <w:rPr>
          <w:rFonts w:ascii="Times New Roman" w:hAnsi="Times New Roman"/>
          <w:sz w:val="20"/>
          <w:lang w:val="en-GB"/>
        </w:rPr>
        <w:t xml:space="preserve"> design needs to include options that support operation when some of the DL resources in time and frequency are used by LTE.</w:t>
      </w:r>
    </w:p>
    <w:p w14:paraId="2F38BDF2" w14:textId="77777777" w:rsidR="003B4B22" w:rsidRPr="008451BC" w:rsidRDefault="003B4B22" w:rsidP="003B4B22">
      <w:pPr>
        <w:pStyle w:val="ListParagraph"/>
        <w:rPr>
          <w:rFonts w:ascii="Times New Roman" w:hAnsi="Times New Roman"/>
          <w:lang w:val="en-GB"/>
        </w:rPr>
      </w:pPr>
    </w:p>
    <w:p w14:paraId="7E1C933A" w14:textId="5C7B9330" w:rsidR="000334CE" w:rsidRDefault="008451BC" w:rsidP="000334CE">
      <w:pPr>
        <w:rPr>
          <w:lang w:val="en-GB"/>
        </w:rPr>
      </w:pPr>
      <w:r>
        <w:rPr>
          <w:lang w:val="en-GB"/>
        </w:rPr>
        <w:t>This is a very c</w:t>
      </w:r>
      <w:r w:rsidR="000334CE" w:rsidRPr="008451BC">
        <w:rPr>
          <w:lang w:val="en-GB"/>
        </w:rPr>
        <w:t>omplex implementation with diminishing benefits as NR-capable user density increases.</w:t>
      </w:r>
      <w:r w:rsidR="000334CE">
        <w:rPr>
          <w:lang w:val="en-GB"/>
        </w:rPr>
        <w:t xml:space="preserve"> </w:t>
      </w:r>
      <w:r>
        <w:rPr>
          <w:lang w:val="en-GB"/>
        </w:rPr>
        <w:t>Therefore, performance benefits of such an approach needs to be compelling enough to justify the complexity.</w:t>
      </w:r>
    </w:p>
    <w:p w14:paraId="532F413E" w14:textId="23601116" w:rsidR="00F76510" w:rsidRDefault="00F76510" w:rsidP="000334CE">
      <w:pPr>
        <w:rPr>
          <w:lang w:val="en-GB"/>
        </w:rPr>
      </w:pPr>
      <w:r w:rsidRPr="00097675">
        <w:rPr>
          <w:b/>
          <w:u w:val="single"/>
          <w:lang w:val="en-GB"/>
        </w:rPr>
        <w:t xml:space="preserve">Proposal </w:t>
      </w:r>
      <w:r>
        <w:rPr>
          <w:b/>
          <w:u w:val="single"/>
          <w:lang w:val="en-GB"/>
        </w:rPr>
        <w:t>2</w:t>
      </w:r>
      <w:r w:rsidRPr="00097675">
        <w:rPr>
          <w:b/>
          <w:u w:val="single"/>
          <w:lang w:val="en-GB"/>
        </w:rPr>
        <w:t>.</w:t>
      </w:r>
      <w:r>
        <w:rPr>
          <w:lang w:val="en-GB"/>
        </w:rPr>
        <w:t xml:space="preserve"> For TDM-based NR LTE coexistence, focus on the coexistence solution using MBSFN subframe where NR transmission avoids the first two symbols of LTE MBSFN subframes </w:t>
      </w:r>
    </w:p>
    <w:p w14:paraId="5D42F24B" w14:textId="77777777" w:rsidR="00E769DB" w:rsidRDefault="00E769DB" w:rsidP="00E769DB">
      <w:pPr>
        <w:pStyle w:val="Heading1"/>
        <w:rPr>
          <w:lang w:eastAsia="zh-CN"/>
        </w:rPr>
      </w:pPr>
      <w:r>
        <w:rPr>
          <w:lang w:eastAsia="zh-CN"/>
        </w:rPr>
        <w:t>Conclusions</w:t>
      </w:r>
    </w:p>
    <w:p w14:paraId="1586D798" w14:textId="4E4BA2DA" w:rsidR="00582DEE" w:rsidRDefault="00E769DB" w:rsidP="003561B7">
      <w:pPr>
        <w:rPr>
          <w:lang w:val="en-GB"/>
        </w:rPr>
      </w:pPr>
      <w:r w:rsidRPr="00097675">
        <w:rPr>
          <w:b/>
          <w:u w:val="single"/>
          <w:lang w:val="en-GB"/>
        </w:rPr>
        <w:t>Proposal 1.</w:t>
      </w:r>
      <w:r>
        <w:rPr>
          <w:lang w:val="en-GB"/>
        </w:rPr>
        <w:t xml:space="preserve"> </w:t>
      </w:r>
      <w:r w:rsidR="00582DEE">
        <w:rPr>
          <w:lang w:val="en-GB"/>
        </w:rPr>
        <w:t xml:space="preserve">Consider to prioritize </w:t>
      </w:r>
      <w:r w:rsidR="002C5F8A">
        <w:rPr>
          <w:lang w:val="en-GB"/>
        </w:rPr>
        <w:t xml:space="preserve">carrier level </w:t>
      </w:r>
      <w:r w:rsidR="00582DEE">
        <w:rPr>
          <w:lang w:val="en-GB"/>
        </w:rPr>
        <w:t>FDM-based resource sharing for NR LTE coexistence in the same band due to the following considerations:</w:t>
      </w:r>
    </w:p>
    <w:p w14:paraId="393197FE" w14:textId="515870EC" w:rsidR="00582DEE" w:rsidRPr="00C26BB8" w:rsidRDefault="00582DEE" w:rsidP="00582DEE">
      <w:pPr>
        <w:pStyle w:val="ListParagraph"/>
        <w:numPr>
          <w:ilvl w:val="0"/>
          <w:numId w:val="33"/>
        </w:numPr>
        <w:rPr>
          <w:rFonts w:ascii="Times New Roman" w:hAnsi="Times New Roman"/>
          <w:sz w:val="20"/>
          <w:lang w:val="en-GB"/>
        </w:rPr>
      </w:pPr>
      <w:r w:rsidRPr="00C26BB8">
        <w:rPr>
          <w:rFonts w:ascii="Times New Roman" w:hAnsi="Times New Roman"/>
          <w:sz w:val="20"/>
          <w:lang w:val="en-GB"/>
        </w:rPr>
        <w:t>Allows NR operation with</w:t>
      </w:r>
      <w:r w:rsidR="00C26BB8" w:rsidRPr="00C26BB8">
        <w:rPr>
          <w:rFonts w:ascii="Times New Roman" w:hAnsi="Times New Roman"/>
          <w:sz w:val="20"/>
          <w:lang w:val="en-GB"/>
        </w:rPr>
        <w:t xml:space="preserve"> high</w:t>
      </w:r>
      <w:r w:rsidRPr="00C26BB8">
        <w:rPr>
          <w:rFonts w:ascii="Times New Roman" w:hAnsi="Times New Roman"/>
          <w:sz w:val="20"/>
          <w:lang w:val="en-GB"/>
        </w:rPr>
        <w:t xml:space="preserve"> efficiency and </w:t>
      </w:r>
      <w:r w:rsidR="00C26BB8" w:rsidRPr="00C26BB8">
        <w:rPr>
          <w:rFonts w:ascii="Times New Roman" w:hAnsi="Times New Roman"/>
          <w:sz w:val="20"/>
          <w:lang w:val="en-GB"/>
        </w:rPr>
        <w:t xml:space="preserve">low </w:t>
      </w:r>
      <w:r w:rsidRPr="00C26BB8">
        <w:rPr>
          <w:rFonts w:ascii="Times New Roman" w:hAnsi="Times New Roman"/>
          <w:sz w:val="20"/>
          <w:lang w:val="en-GB"/>
        </w:rPr>
        <w:t>latency</w:t>
      </w:r>
    </w:p>
    <w:p w14:paraId="797DB06E" w14:textId="4E4A1C4C" w:rsidR="00416182" w:rsidRPr="00C26BB8" w:rsidRDefault="00C26BB8" w:rsidP="00582DEE">
      <w:pPr>
        <w:pStyle w:val="ListParagraph"/>
        <w:numPr>
          <w:ilvl w:val="0"/>
          <w:numId w:val="33"/>
        </w:numPr>
        <w:rPr>
          <w:rFonts w:ascii="Times New Roman" w:hAnsi="Times New Roman"/>
          <w:sz w:val="20"/>
          <w:lang w:val="en-GB"/>
        </w:rPr>
      </w:pPr>
      <w:r>
        <w:rPr>
          <w:rFonts w:ascii="Times New Roman" w:hAnsi="Times New Roman"/>
          <w:sz w:val="20"/>
          <w:lang w:val="en-GB"/>
        </w:rPr>
        <w:t xml:space="preserve">Does not introduce </w:t>
      </w:r>
      <w:r w:rsidR="00813BB0">
        <w:rPr>
          <w:rFonts w:ascii="Times New Roman" w:hAnsi="Times New Roman"/>
          <w:sz w:val="20"/>
          <w:lang w:val="en-GB"/>
        </w:rPr>
        <w:t xml:space="preserve">many </w:t>
      </w:r>
      <w:r>
        <w:rPr>
          <w:rFonts w:ascii="Times New Roman" w:hAnsi="Times New Roman"/>
          <w:sz w:val="20"/>
          <w:lang w:val="en-GB"/>
        </w:rPr>
        <w:t xml:space="preserve">additional challenges </w:t>
      </w:r>
      <w:r w:rsidR="00813BB0">
        <w:rPr>
          <w:rFonts w:ascii="Times New Roman" w:hAnsi="Times New Roman"/>
          <w:sz w:val="20"/>
          <w:lang w:val="en-GB"/>
        </w:rPr>
        <w:t>for NR design due to some time/frequency resources not being available to NR in order not to impact LTE</w:t>
      </w:r>
      <w:r>
        <w:rPr>
          <w:rFonts w:ascii="Times New Roman" w:hAnsi="Times New Roman"/>
          <w:sz w:val="20"/>
          <w:lang w:val="en-GB"/>
        </w:rPr>
        <w:t xml:space="preserve"> </w:t>
      </w:r>
      <w:r w:rsidR="00813BB0">
        <w:rPr>
          <w:rFonts w:ascii="Times New Roman" w:hAnsi="Times New Roman"/>
          <w:sz w:val="20"/>
          <w:lang w:val="en-GB"/>
        </w:rPr>
        <w:t>operation</w:t>
      </w:r>
    </w:p>
    <w:p w14:paraId="57FE7336" w14:textId="77777777" w:rsidR="00416182" w:rsidRPr="009A6969" w:rsidRDefault="00C26BB8" w:rsidP="009A6969">
      <w:pPr>
        <w:pStyle w:val="ListParagraph"/>
        <w:numPr>
          <w:ilvl w:val="0"/>
          <w:numId w:val="33"/>
        </w:numPr>
        <w:rPr>
          <w:b/>
          <w:u w:val="single"/>
          <w:lang w:val="en-GB"/>
        </w:rPr>
      </w:pPr>
      <w:r w:rsidRPr="009A6969">
        <w:rPr>
          <w:rFonts w:ascii="Times New Roman" w:hAnsi="Times New Roman"/>
          <w:sz w:val="20"/>
          <w:lang w:val="en-GB"/>
        </w:rPr>
        <w:t xml:space="preserve">Prevents impact on LTE </w:t>
      </w:r>
      <w:r w:rsidR="00813BB0" w:rsidRPr="009A6969">
        <w:rPr>
          <w:rFonts w:ascii="Times New Roman" w:hAnsi="Times New Roman"/>
          <w:sz w:val="20"/>
          <w:lang w:val="en-GB"/>
        </w:rPr>
        <w:t xml:space="preserve">operation and </w:t>
      </w:r>
      <w:r w:rsidRPr="009A6969">
        <w:rPr>
          <w:rFonts w:ascii="Times New Roman" w:hAnsi="Times New Roman"/>
          <w:sz w:val="20"/>
          <w:lang w:val="en-GB"/>
        </w:rPr>
        <w:t>latency</w:t>
      </w:r>
      <w:r w:rsidR="00416182" w:rsidRPr="009A6969">
        <w:rPr>
          <w:b/>
          <w:u w:val="single"/>
          <w:lang w:val="en-GB"/>
        </w:rPr>
        <w:t xml:space="preserve"> </w:t>
      </w:r>
    </w:p>
    <w:p w14:paraId="54277878" w14:textId="77777777" w:rsidR="00416182" w:rsidRDefault="00416182" w:rsidP="00416182">
      <w:pPr>
        <w:rPr>
          <w:b/>
          <w:u w:val="single"/>
          <w:lang w:val="en-GB"/>
        </w:rPr>
      </w:pPr>
    </w:p>
    <w:p w14:paraId="3620C322" w14:textId="0C2C69E7" w:rsidR="00E769DB" w:rsidRPr="00416182" w:rsidRDefault="00416182">
      <w:pPr>
        <w:rPr>
          <w:lang w:val="en-GB"/>
        </w:rPr>
      </w:pPr>
      <w:r w:rsidRPr="00097675">
        <w:rPr>
          <w:b/>
          <w:u w:val="single"/>
          <w:lang w:val="en-GB"/>
        </w:rPr>
        <w:t xml:space="preserve">Proposal </w:t>
      </w:r>
      <w:r>
        <w:rPr>
          <w:b/>
          <w:u w:val="single"/>
          <w:lang w:val="en-GB"/>
        </w:rPr>
        <w:t>2</w:t>
      </w:r>
      <w:r w:rsidRPr="00097675">
        <w:rPr>
          <w:b/>
          <w:u w:val="single"/>
          <w:lang w:val="en-GB"/>
        </w:rPr>
        <w:t>.</w:t>
      </w:r>
      <w:r>
        <w:rPr>
          <w:lang w:val="en-GB"/>
        </w:rPr>
        <w:t xml:space="preserve"> For TDM-based NR LTE coexistence, focus on the coexistence solution using MBSFN subframe where NR transmission avoids the first two symbols of LTE MBSFN subframes </w:t>
      </w:r>
    </w:p>
    <w:p w14:paraId="446C4E8C" w14:textId="77777777" w:rsidR="00E769DB" w:rsidRPr="000A64D8" w:rsidRDefault="00E769DB" w:rsidP="00E769DB">
      <w:pPr>
        <w:pStyle w:val="Heading1"/>
        <w:rPr>
          <w:lang w:val="en-US"/>
        </w:rPr>
      </w:pPr>
      <w:r w:rsidRPr="000A64D8">
        <w:rPr>
          <w:lang w:val="en-US"/>
        </w:rPr>
        <w:t>References</w:t>
      </w:r>
    </w:p>
    <w:p w14:paraId="70E96F83" w14:textId="355F70F3" w:rsidR="00D252C3" w:rsidRDefault="00D252C3" w:rsidP="00D252C3">
      <w:pPr>
        <w:numPr>
          <w:ilvl w:val="0"/>
          <w:numId w:val="2"/>
        </w:numPr>
        <w:spacing w:before="100" w:beforeAutospacing="1" w:after="100" w:afterAutospacing="1"/>
        <w:rPr>
          <w:szCs w:val="22"/>
        </w:rPr>
      </w:pPr>
      <w:r>
        <w:rPr>
          <w:szCs w:val="22"/>
        </w:rPr>
        <w:t xml:space="preserve">RAN1 </w:t>
      </w:r>
      <w:r w:rsidR="00026CD3">
        <w:rPr>
          <w:szCs w:val="22"/>
        </w:rPr>
        <w:t>AdHoc Jan 2017</w:t>
      </w:r>
      <w:bookmarkStart w:id="1" w:name="_GoBack"/>
      <w:bookmarkEnd w:id="1"/>
      <w:r>
        <w:rPr>
          <w:szCs w:val="22"/>
        </w:rPr>
        <w:t xml:space="preserve"> Chairman’s Notes</w:t>
      </w:r>
      <w:r w:rsidRPr="003D5B67" w:rsidDel="00F80654">
        <w:rPr>
          <w:szCs w:val="22"/>
        </w:rPr>
        <w:t xml:space="preserve"> </w:t>
      </w:r>
    </w:p>
    <w:p w14:paraId="4667ED60" w14:textId="77777777" w:rsidR="00D252C3" w:rsidRPr="008149C9" w:rsidRDefault="00D252C3" w:rsidP="00D252C3">
      <w:pPr>
        <w:numPr>
          <w:ilvl w:val="0"/>
          <w:numId w:val="2"/>
        </w:numPr>
        <w:spacing w:before="100" w:beforeAutospacing="1" w:after="100" w:afterAutospacing="1"/>
        <w:rPr>
          <w:szCs w:val="22"/>
        </w:rPr>
      </w:pPr>
      <w:r>
        <w:rPr>
          <w:szCs w:val="22"/>
        </w:rPr>
        <w:t>R1-</w:t>
      </w:r>
      <w:r w:rsidRPr="008149C9">
        <w:rPr>
          <w:szCs w:val="22"/>
        </w:rPr>
        <w:t>1</w:t>
      </w:r>
      <w:r>
        <w:rPr>
          <w:szCs w:val="22"/>
        </w:rPr>
        <w:t>700841</w:t>
      </w:r>
      <w:r w:rsidRPr="008149C9">
        <w:rPr>
          <w:szCs w:val="22"/>
        </w:rPr>
        <w:t>, “</w:t>
      </w:r>
      <w:r w:rsidRPr="008C7658">
        <w:rPr>
          <w:szCs w:val="22"/>
        </w:rPr>
        <w:t>NR LTE Coexistence</w:t>
      </w:r>
      <w:r w:rsidRPr="008149C9">
        <w:rPr>
          <w:szCs w:val="22"/>
        </w:rPr>
        <w:t>”, Qualcomm Incorporated, RAN1 #</w:t>
      </w:r>
      <w:r>
        <w:rPr>
          <w:szCs w:val="22"/>
        </w:rPr>
        <w:t>87a</w:t>
      </w:r>
    </w:p>
    <w:p w14:paraId="159357BA" w14:textId="77777777" w:rsidR="00E769DB" w:rsidRPr="00DF5588" w:rsidRDefault="00E769DB" w:rsidP="00E769DB">
      <w:pPr>
        <w:rPr>
          <w:szCs w:val="22"/>
        </w:rPr>
      </w:pPr>
    </w:p>
    <w:p w14:paraId="3935C235" w14:textId="0C1B4E99" w:rsidR="003E13D0" w:rsidRPr="00DF5588" w:rsidRDefault="003E13D0" w:rsidP="008149C9">
      <w:pPr>
        <w:rPr>
          <w:szCs w:val="22"/>
        </w:rPr>
      </w:pPr>
    </w:p>
    <w:sectPr w:rsidR="003E13D0" w:rsidRPr="00DF558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9E753" w14:textId="77777777" w:rsidR="00483133" w:rsidRDefault="00483133">
      <w:r>
        <w:separator/>
      </w:r>
    </w:p>
  </w:endnote>
  <w:endnote w:type="continuationSeparator" w:id="0">
    <w:p w14:paraId="3FA36A9E" w14:textId="77777777" w:rsidR="00483133" w:rsidRDefault="00483133">
      <w:r>
        <w:continuationSeparator/>
      </w:r>
    </w:p>
  </w:endnote>
  <w:endnote w:type="continuationNotice" w:id="1">
    <w:p w14:paraId="162058E5" w14:textId="77777777" w:rsidR="00483133" w:rsidRDefault="00483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7FB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7FB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8266B" w14:textId="77777777" w:rsidR="00483133" w:rsidRDefault="00483133">
      <w:r>
        <w:separator/>
      </w:r>
    </w:p>
  </w:footnote>
  <w:footnote w:type="continuationSeparator" w:id="0">
    <w:p w14:paraId="000706B4" w14:textId="77777777" w:rsidR="00483133" w:rsidRDefault="00483133">
      <w:r>
        <w:continuationSeparator/>
      </w:r>
    </w:p>
  </w:footnote>
  <w:footnote w:type="continuationNotice" w:id="1">
    <w:p w14:paraId="091FFEB3" w14:textId="77777777" w:rsidR="00483133" w:rsidRDefault="004831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4"/>
  </w:num>
  <w:num w:numId="4">
    <w:abstractNumId w:val="15"/>
  </w:num>
  <w:num w:numId="5">
    <w:abstractNumId w:val="5"/>
  </w:num>
  <w:num w:numId="6">
    <w:abstractNumId w:val="8"/>
  </w:num>
  <w:num w:numId="7">
    <w:abstractNumId w:val="9"/>
  </w:num>
  <w:num w:numId="8">
    <w:abstractNumId w:val="1"/>
  </w:num>
  <w:num w:numId="9">
    <w:abstractNumId w:val="32"/>
    <w:lvlOverride w:ilvl="0">
      <w:startOverride w:val="1"/>
    </w:lvlOverride>
  </w:num>
  <w:num w:numId="10">
    <w:abstractNumId w:val="19"/>
  </w:num>
  <w:num w:numId="11">
    <w:abstractNumId w:val="26"/>
  </w:num>
  <w:num w:numId="12">
    <w:abstractNumId w:val="28"/>
  </w:num>
  <w:num w:numId="13">
    <w:abstractNumId w:val="16"/>
  </w:num>
  <w:num w:numId="14">
    <w:abstractNumId w:val="22"/>
  </w:num>
  <w:num w:numId="15">
    <w:abstractNumId w:val="3"/>
  </w:num>
  <w:num w:numId="16">
    <w:abstractNumId w:val="29"/>
  </w:num>
  <w:num w:numId="17">
    <w:abstractNumId w:val="6"/>
  </w:num>
  <w:num w:numId="18">
    <w:abstractNumId w:val="27"/>
  </w:num>
  <w:num w:numId="19">
    <w:abstractNumId w:val="10"/>
  </w:num>
  <w:num w:numId="20">
    <w:abstractNumId w:val="31"/>
  </w:num>
  <w:num w:numId="21">
    <w:abstractNumId w:val="20"/>
  </w:num>
  <w:num w:numId="22">
    <w:abstractNumId w:val="2"/>
  </w:num>
  <w:num w:numId="23">
    <w:abstractNumId w:val="18"/>
  </w:num>
  <w:num w:numId="24">
    <w:abstractNumId w:val="24"/>
  </w:num>
  <w:num w:numId="25">
    <w:abstractNumId w:val="11"/>
  </w:num>
  <w:num w:numId="26">
    <w:abstractNumId w:val="14"/>
  </w:num>
  <w:num w:numId="27">
    <w:abstractNumId w:val="13"/>
  </w:num>
  <w:num w:numId="28">
    <w:abstractNumId w:val="25"/>
  </w:num>
  <w:num w:numId="29">
    <w:abstractNumId w:val="30"/>
  </w:num>
  <w:num w:numId="30">
    <w:abstractNumId w:val="7"/>
  </w:num>
  <w:num w:numId="31">
    <w:abstractNumId w:val="23"/>
  </w:num>
  <w:num w:numId="32">
    <w:abstractNumId w:val="21"/>
  </w:num>
  <w:num w:numId="3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BB8"/>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3D9"/>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07FBC"/>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HR33RHYHUWRF-4-1705</_dlc_DocId>
    <_dlc_DocIdUrl xmlns="c06861ca-3f08-4d07-bff7-bb15bac121f4">
      <Url>https://projects.qualcomm.com/sites/pentari/_layouts/15/DocIdRedir.aspx?ID=HR33RHYHUWRF-4-1705</Url>
      <Description>HR33RHYHUWRF-4-1705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78BC94-8419-478B-9512-B09A9EAB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Sun, Haitong</cp:lastModifiedBy>
  <cp:revision>35</cp:revision>
  <cp:lastPrinted>2014-11-07T05:38:00Z</cp:lastPrinted>
  <dcterms:created xsi:type="dcterms:W3CDTF">2017-01-10T04:30:00Z</dcterms:created>
  <dcterms:modified xsi:type="dcterms:W3CDTF">2017-02-07T03:11:00Z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823a6bb4-a691-464e-9fad-139ec31c9a5b</vt:lpwstr>
  </property>
</Properties>
</file>